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B981C3">
      <w:pPr>
        <w:rPr>
          <w:rFonts w:hint="eastAsia" w:ascii="黑体" w:hAnsi="黑体" w:eastAsia="黑体"/>
          <w:bCs/>
          <w:kern w:val="44"/>
          <w:sz w:val="18"/>
          <w:szCs w:val="18"/>
          <w:lang w:eastAsia="zh-CN"/>
        </w:rPr>
      </w:pPr>
    </w:p>
    <w:p w14:paraId="483FCB43">
      <w:pPr>
        <w:rPr>
          <w:rFonts w:hint="eastAsia" w:eastAsia="宋体"/>
          <w:lang w:eastAsia="zh-CN"/>
        </w:rPr>
      </w:pPr>
      <w:r>
        <w:rPr>
          <w:rFonts w:hint="eastAsia" w:ascii="黑体" w:hAnsi="黑体" w:eastAsia="黑体"/>
          <w:bCs/>
          <w:kern w:val="44"/>
          <w:sz w:val="18"/>
          <w:szCs w:val="18"/>
          <w:lang w:eastAsia="zh-CN"/>
        </w:rPr>
        <w:drawing>
          <wp:inline distT="0" distB="0" distL="114300" distR="114300">
            <wp:extent cx="3423285" cy="539115"/>
            <wp:effectExtent l="0" t="0" r="0" b="0"/>
            <wp:docPr id="17" name="图片 17" descr="十四五国规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十四五国规标"/>
                    <pic:cNvPicPr>
                      <a:picLocks noChangeAspect="1"/>
                    </pic:cNvPicPr>
                  </pic:nvPicPr>
                  <pic:blipFill>
                    <a:blip r:embed="rId6"/>
                    <a:srcRect l="20315" t="47178" r="23750" b="46598"/>
                    <a:stretch>
                      <a:fillRect/>
                    </a:stretch>
                  </pic:blipFill>
                  <pic:spPr>
                    <a:xfrm>
                      <a:off x="0" y="0"/>
                      <a:ext cx="3423285" cy="539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D371CA">
      <w:pPr>
        <w:jc w:val="center"/>
        <w:rPr>
          <w:u w:val="none"/>
        </w:rPr>
      </w:pPr>
    </w:p>
    <w:p w14:paraId="11007678">
      <w:pPr>
        <w:jc w:val="center"/>
        <w:rPr>
          <w:u w:val="none"/>
        </w:rPr>
      </w:pPr>
    </w:p>
    <w:p w14:paraId="6B407561">
      <w:pPr>
        <w:jc w:val="center"/>
        <w:rPr>
          <w:u w:val="none"/>
        </w:rPr>
      </w:pPr>
    </w:p>
    <w:p w14:paraId="7E9BF89A">
      <w:pPr>
        <w:jc w:val="center"/>
        <w:rPr>
          <w:u w:val="none"/>
        </w:rPr>
      </w:pPr>
    </w:p>
    <w:p w14:paraId="099CC3AD">
      <w:pPr>
        <w:jc w:val="both"/>
        <w:rPr>
          <w:u w:val="none"/>
        </w:rPr>
      </w:pPr>
    </w:p>
    <w:p w14:paraId="63F8523E">
      <w:pPr>
        <w:jc w:val="center"/>
        <w:rPr>
          <w:u w:val="none"/>
        </w:rPr>
      </w:pPr>
    </w:p>
    <w:p w14:paraId="71774C67">
      <w:pPr>
        <w:jc w:val="center"/>
        <w:rPr>
          <w:u w:val="none"/>
        </w:rPr>
      </w:pPr>
    </w:p>
    <w:p w14:paraId="7E100193">
      <w:pPr>
        <w:jc w:val="center"/>
        <w:rPr>
          <w:u w:val="none"/>
        </w:rPr>
      </w:pPr>
    </w:p>
    <w:p w14:paraId="660657BA">
      <w:pPr>
        <w:jc w:val="center"/>
        <w:rPr>
          <w:u w:val="none"/>
        </w:rPr>
      </w:pPr>
    </w:p>
    <w:p w14:paraId="36299F7E">
      <w:pPr>
        <w:jc w:val="center"/>
        <w:rPr>
          <w:u w:val="none"/>
        </w:rPr>
      </w:pPr>
    </w:p>
    <w:p w14:paraId="2F16BA81">
      <w:pPr>
        <w:jc w:val="center"/>
        <w:rPr>
          <w:u w:val="none"/>
        </w:rPr>
      </w:pPr>
    </w:p>
    <w:p w14:paraId="656F96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eastAsiaTheme="minorEastAsia"/>
          <w:u w:val="none"/>
          <w:lang w:val="en-US" w:eastAsia="zh-CN"/>
        </w:rPr>
      </w:pPr>
      <w:r>
        <w:rPr>
          <w:u w:val="none"/>
        </w:rPr>
        <w:pict>
          <v:shape id="_x0000_i1025" o:spt="136" type="#_x0000_t136" style="height:68.75pt;width:509.15pt;" fillcolor="#99CC00" filled="t" stroked="t" coordsize="21600,21600" adj="10800">
            <v:path/>
            <v:fill on="t" color2="#FF9933" focussize="0,0"/>
            <v:stroke weight="1.5pt" color="#FFFFFF"/>
            <v:imagedata o:title=""/>
            <o:lock v:ext="edit" aspectratio="f"/>
            <v:textpath on="t" fitshape="t" fitpath="t" trim="t" xscale="f" string="《体育与健康》" style="font-family:微软雅黑;font-size:40pt;font-weight:bold;v-text-align:center;v-text-spacing:78643f;"/>
            <v:shadow on="t" type="emboss" obscured="f" color="lineOrFill darken(153)" opacity="65536f" color2="shadow add(102)" offset="0pt,0pt" offset2="0pt,0pt" origin="0f,0f" matrix="65536f,0f,0f,65536f,0,0"/>
            <w10:wrap type="none"/>
            <w10:anchorlock/>
          </v:shape>
        </w:pict>
      </w:r>
    </w:p>
    <w:p w14:paraId="5D14944E">
      <w:pPr>
        <w:jc w:val="center"/>
        <w:rPr>
          <w:u w:val="none"/>
        </w:rPr>
      </w:pPr>
    </w:p>
    <w:p w14:paraId="3377FC7F">
      <w:pPr>
        <w:jc w:val="center"/>
        <w:rPr>
          <w:u w:val="none"/>
        </w:rPr>
      </w:pPr>
    </w:p>
    <w:p w14:paraId="4F76CDBC">
      <w:pPr>
        <w:jc w:val="center"/>
        <w:rPr>
          <w:rFonts w:hint="eastAsia" w:ascii="楷体" w:hAnsi="楷体" w:eastAsia="楷体" w:cs="楷体"/>
          <w:b/>
          <w:bCs/>
          <w:u w:val="none"/>
          <w:lang w:eastAsia="zh-CN"/>
          <w14:textFill>
            <w14:gradFill>
              <w14:gsLst>
                <w14:gs w14:pos="0">
                  <w14:srgbClr w14:val="A0B7A5"/>
                </w14:gs>
                <w14:gs w14:pos="94000">
                  <w14:srgbClr w14:val="6AA18E"/>
                </w14:gs>
              </w14:gsLst>
              <w14:lin w14:scaled="1"/>
            </w14:gradFill>
          </w14:textFill>
        </w:rPr>
      </w:pPr>
      <w:r>
        <w:rPr>
          <w:rFonts w:hint="eastAsia" w:ascii="楷体" w:hAnsi="楷体" w:eastAsia="楷体" w:cs="楷体"/>
          <w:b/>
          <w:bCs/>
          <w:sz w:val="72"/>
          <w:szCs w:val="72"/>
          <w:u w:val="none"/>
          <w:lang w:eastAsia="zh-CN"/>
          <w14:textFill>
            <w14:gradFill>
              <w14:gsLst>
                <w14:gs w14:pos="0">
                  <w14:srgbClr w14:val="A0B7A5"/>
                </w14:gs>
                <w14:gs w14:pos="94000">
                  <w14:srgbClr w14:val="6AA18E"/>
                </w14:gs>
              </w14:gsLst>
              <w14:lin w14:scaled="1"/>
            </w14:gradFill>
          </w14:textFill>
        </w:rPr>
        <w:t>（</w:t>
      </w:r>
      <w:r>
        <w:rPr>
          <w:rFonts w:hint="eastAsia" w:ascii="楷体" w:hAnsi="楷体" w:eastAsia="楷体" w:cs="楷体"/>
          <w:b/>
          <w:bCs/>
          <w:sz w:val="72"/>
          <w:szCs w:val="72"/>
          <w:u w:val="none"/>
          <w:lang w:val="en-US" w:eastAsia="zh-CN"/>
          <w14:textFill>
            <w14:gradFill>
              <w14:gsLst>
                <w14:gs w14:pos="0">
                  <w14:srgbClr w14:val="A0B7A5"/>
                </w14:gs>
                <w14:gs w14:pos="94000">
                  <w14:srgbClr w14:val="6AA18E"/>
                </w14:gs>
              </w14:gsLst>
              <w14:lin w14:scaled="1"/>
            </w14:gradFill>
          </w14:textFill>
        </w:rPr>
        <w:t>第三版</w:t>
      </w:r>
      <w:r>
        <w:rPr>
          <w:rFonts w:hint="eastAsia" w:ascii="楷体" w:hAnsi="楷体" w:eastAsia="楷体" w:cs="楷体"/>
          <w:b/>
          <w:bCs/>
          <w:sz w:val="72"/>
          <w:szCs w:val="72"/>
          <w:u w:val="none"/>
          <w:lang w:eastAsia="zh-CN"/>
          <w14:textFill>
            <w14:gradFill>
              <w14:gsLst>
                <w14:gs w14:pos="0">
                  <w14:srgbClr w14:val="A0B7A5"/>
                </w14:gs>
                <w14:gs w14:pos="94000">
                  <w14:srgbClr w14:val="6AA18E"/>
                </w14:gs>
              </w14:gsLst>
              <w14:lin w14:scaled="1"/>
            </w14:gradFill>
          </w14:textFill>
        </w:rPr>
        <w:t>）</w:t>
      </w:r>
    </w:p>
    <w:p w14:paraId="22B998DD">
      <w:pPr>
        <w:jc w:val="center"/>
        <w:rPr>
          <w:u w:val="none"/>
        </w:rPr>
      </w:pPr>
    </w:p>
    <w:p w14:paraId="4DA886B6">
      <w:pPr>
        <w:jc w:val="center"/>
        <w:rPr>
          <w:u w:val="none"/>
        </w:rPr>
      </w:pPr>
    </w:p>
    <w:p w14:paraId="05400EC2">
      <w:pPr>
        <w:jc w:val="center"/>
        <w:rPr>
          <w:u w:val="none"/>
        </w:rPr>
      </w:pPr>
    </w:p>
    <w:p w14:paraId="58797F43">
      <w:pPr>
        <w:jc w:val="center"/>
        <w:rPr>
          <w:u w:val="none"/>
        </w:rPr>
      </w:pPr>
    </w:p>
    <w:p w14:paraId="5E261CF2">
      <w:pPr>
        <w:jc w:val="center"/>
        <w:rPr>
          <w:u w:val="none"/>
        </w:rPr>
      </w:pPr>
    </w:p>
    <w:p w14:paraId="22693A06">
      <w:pPr>
        <w:jc w:val="center"/>
        <w:rPr>
          <w:u w:val="none"/>
        </w:rPr>
      </w:pPr>
    </w:p>
    <w:p w14:paraId="775C1AE8">
      <w:pPr>
        <w:jc w:val="center"/>
        <w:rPr>
          <w:u w:val="none"/>
        </w:rPr>
      </w:pPr>
    </w:p>
    <w:p w14:paraId="4C06C321">
      <w:pPr>
        <w:jc w:val="center"/>
        <w:rPr>
          <w:u w:val="none"/>
        </w:rPr>
      </w:pPr>
    </w:p>
    <w:p w14:paraId="05C1D22D">
      <w:pPr>
        <w:jc w:val="center"/>
        <w:rPr>
          <w:u w:val="none"/>
        </w:rPr>
      </w:pPr>
    </w:p>
    <w:p w14:paraId="61587336">
      <w:pPr>
        <w:jc w:val="center"/>
        <w:rPr>
          <w:u w:val="none"/>
        </w:rPr>
      </w:pPr>
    </w:p>
    <w:p w14:paraId="0498BBFF">
      <w:pPr>
        <w:jc w:val="center"/>
        <w:rPr>
          <w:u w:val="none"/>
        </w:rPr>
      </w:pPr>
    </w:p>
    <w:p w14:paraId="096DC147">
      <w:pPr>
        <w:jc w:val="center"/>
        <w:rPr>
          <w:u w:val="none"/>
        </w:rPr>
      </w:pPr>
    </w:p>
    <w:p w14:paraId="6F9E3D66">
      <w:pPr>
        <w:jc w:val="center"/>
        <w:rPr>
          <w:u w:val="none"/>
        </w:rPr>
      </w:pPr>
    </w:p>
    <w:p w14:paraId="455242B6">
      <w:pPr>
        <w:jc w:val="center"/>
        <w:rPr>
          <w:u w:val="none"/>
        </w:rPr>
      </w:pPr>
    </w:p>
    <w:p w14:paraId="5CCDACCB">
      <w:pPr>
        <w:jc w:val="center"/>
        <w:rPr>
          <w:u w:val="none"/>
        </w:rPr>
      </w:pPr>
    </w:p>
    <w:p w14:paraId="3B6140BE">
      <w:pPr>
        <w:jc w:val="center"/>
        <w:rPr>
          <w:u w:val="none"/>
        </w:rPr>
      </w:pPr>
    </w:p>
    <w:p w14:paraId="4FD40FB1">
      <w:pPr>
        <w:jc w:val="center"/>
        <w:rPr>
          <w:u w:val="none"/>
        </w:rPr>
      </w:pPr>
    </w:p>
    <w:p w14:paraId="6E548FE7">
      <w:pPr>
        <w:jc w:val="center"/>
        <w:rPr>
          <w:u w:val="none"/>
        </w:rPr>
      </w:pPr>
    </w:p>
    <w:p w14:paraId="6F9DF1C7">
      <w:pPr>
        <w:jc w:val="center"/>
        <w:rPr>
          <w:rFonts w:hint="default" w:eastAsiaTheme="minorEastAsia"/>
          <w:u w:val="none"/>
          <w:lang w:val="en-US" w:eastAsia="zh-CN"/>
        </w:rPr>
        <w:sectPr>
          <w:headerReference r:id="rId4" w:type="first"/>
          <w:headerReference r:id="rId3" w:type="default"/>
          <w:pgSz w:w="11906" w:h="16838"/>
          <w:pgMar w:top="1134" w:right="850" w:bottom="1134" w:left="850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titlePg/>
          <w:docGrid w:type="lines" w:linePitch="312" w:charSpace="0"/>
        </w:sectPr>
      </w:pPr>
      <w:r>
        <w:rPr>
          <w:rFonts w:hint="eastAsia"/>
          <w:sz w:val="28"/>
          <w:szCs w:val="28"/>
          <w:u w:val="none"/>
          <w:lang w:val="en-US" w:eastAsia="zh-CN"/>
        </w:rPr>
        <w:t>北京出版社</w:t>
      </w:r>
    </w:p>
    <w:p w14:paraId="3587449C">
      <w:pPr>
        <w:jc w:val="center"/>
        <w:rPr>
          <w:rFonts w:hint="eastAsia" w:ascii="思源宋体" w:hAnsi="思源宋体" w:eastAsia="思源宋体" w:cs="思源宋体"/>
          <w:b/>
          <w:bCs/>
          <w:caps/>
          <w:color w:val="418D67"/>
          <w:sz w:val="36"/>
          <w:szCs w:val="36"/>
          <w:lang w:val="en-US" w:eastAsia="zh-CN" w:bidi="ar-SA"/>
        </w:rPr>
      </w:pPr>
      <w:r>
        <w:rPr>
          <w:rFonts w:hint="eastAsia" w:ascii="思源宋体" w:hAnsi="思源宋体" w:eastAsia="思源宋体" w:cs="思源宋体"/>
          <w:b/>
          <w:bCs/>
          <w:caps/>
          <w:color w:val="418D67"/>
          <w:sz w:val="36"/>
          <w:szCs w:val="36"/>
          <w:lang w:val="en-US" w:eastAsia="zh-CN" w:bidi="ar-SA"/>
        </w:rPr>
        <w:t>第4</w:t>
      </w:r>
      <w:bookmarkStart w:id="0" w:name="_GoBack"/>
      <w:bookmarkEnd w:id="0"/>
      <w:r>
        <w:rPr>
          <w:rFonts w:hint="eastAsia" w:ascii="思源宋体" w:hAnsi="思源宋体" w:eastAsia="思源宋体" w:cs="思源宋体"/>
          <w:b/>
          <w:bCs/>
          <w:caps/>
          <w:color w:val="418D67"/>
          <w:sz w:val="36"/>
          <w:szCs w:val="36"/>
          <w:lang w:val="en-US" w:eastAsia="zh-CN" w:bidi="ar-SA"/>
        </w:rPr>
        <w:t>课 职业体能</w:t>
      </w:r>
    </w:p>
    <w:tbl>
      <w:tblPr>
        <w:tblStyle w:val="5"/>
        <w:tblW w:w="9638" w:type="dxa"/>
        <w:jc w:val="center"/>
        <w:tblBorders>
          <w:top w:val="double" w:color="418D67" w:sz="4" w:space="0"/>
          <w:left w:val="double" w:color="418D67" w:sz="4" w:space="0"/>
          <w:bottom w:val="double" w:color="418D67" w:sz="4" w:space="0"/>
          <w:right w:val="double" w:color="418D67" w:sz="4" w:space="0"/>
          <w:insideH w:val="dashSmallGap" w:color="418D67" w:sz="4" w:space="0"/>
          <w:insideV w:val="dashSmallGap" w:color="418D67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5"/>
        <w:gridCol w:w="6244"/>
        <w:gridCol w:w="1809"/>
      </w:tblGrid>
      <w:tr w14:paraId="6CBC3043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E6F1EB"/>
            <w:noWrap w:val="0"/>
            <w:vAlign w:val="center"/>
          </w:tcPr>
          <w:p w14:paraId="2B615A74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page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shd w:val="clear" w:color="auto" w:fill="E6F1EB"/>
              </w:rPr>
              <w:t>课题</w:t>
            </w:r>
          </w:p>
        </w:tc>
        <w:tc>
          <w:tcPr>
            <w:tcW w:w="7057" w:type="dxa"/>
            <w:gridSpan w:val="2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874922D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418D67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418D67"/>
                <w:sz w:val="21"/>
                <w:szCs w:val="21"/>
              </w:rPr>
              <w:t>职业体能</w:t>
            </w:r>
            <w:r>
              <w:rPr>
                <w:rFonts w:hint="eastAsia" w:ascii="宋体" w:hAnsi="宋体" w:eastAsia="宋体" w:cs="宋体"/>
                <w:b/>
                <w:color w:val="418D67"/>
                <w:sz w:val="21"/>
                <w:szCs w:val="21"/>
              </w:rPr>
              <w:tab/>
            </w:r>
          </w:p>
        </w:tc>
      </w:tr>
      <w:tr w14:paraId="6288D421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F5F5E1"/>
            <w:noWrap w:val="0"/>
            <w:vAlign w:val="center"/>
          </w:tcPr>
          <w:p w14:paraId="1405A505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课时</w:t>
            </w:r>
          </w:p>
        </w:tc>
        <w:tc>
          <w:tcPr>
            <w:tcW w:w="7057" w:type="dxa"/>
            <w:gridSpan w:val="2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4E1D2E4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课时（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135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min）</w:t>
            </w:r>
          </w:p>
        </w:tc>
      </w:tr>
      <w:tr w14:paraId="6A8564EF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E6F1EB"/>
            <w:noWrap w:val="0"/>
            <w:vAlign w:val="center"/>
          </w:tcPr>
          <w:p w14:paraId="60E51FE0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教学目标</w:t>
            </w:r>
          </w:p>
        </w:tc>
        <w:tc>
          <w:tcPr>
            <w:tcW w:w="7057" w:type="dxa"/>
            <w:gridSpan w:val="2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9C14C54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知识技能目标：</w:t>
            </w:r>
          </w:p>
          <w:p w14:paraId="433E09FE">
            <w:pPr>
              <w:pStyle w:val="7"/>
              <w:spacing w:line="360" w:lineRule="auto"/>
              <w:ind w:left="63" w:leftChars="30"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 了解体能的测定与评价方法。</w:t>
            </w:r>
          </w:p>
          <w:p w14:paraId="1FA9332B">
            <w:pPr>
              <w:pStyle w:val="7"/>
              <w:spacing w:line="360" w:lineRule="auto"/>
              <w:ind w:left="63" w:leftChars="30"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 熟悉职业体能的相关概念。</w:t>
            </w:r>
          </w:p>
          <w:p w14:paraId="060802E8">
            <w:pPr>
              <w:pStyle w:val="7"/>
              <w:spacing w:line="360" w:lineRule="auto"/>
              <w:ind w:left="736" w:leftChars="100" w:hanging="526" w:hangingChars="250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思政育人目标：</w:t>
            </w:r>
          </w:p>
          <w:p w14:paraId="60DFBEBD">
            <w:pPr>
              <w:pStyle w:val="7"/>
              <w:spacing w:line="360" w:lineRule="auto"/>
              <w:ind w:left="63" w:leftChars="30" w:firstLine="420" w:firstLineChars="20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通过学习本节内容，让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学生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知道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根据不同工作岗位的特点，选择合适的锻炼方法，提高工作或学习效率。</w:t>
            </w:r>
          </w:p>
        </w:tc>
      </w:tr>
      <w:tr w14:paraId="4CDD8430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F5F5E1"/>
            <w:noWrap w:val="0"/>
            <w:vAlign w:val="center"/>
          </w:tcPr>
          <w:p w14:paraId="18C786A1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教学重难点</w:t>
            </w:r>
          </w:p>
        </w:tc>
        <w:tc>
          <w:tcPr>
            <w:tcW w:w="7057" w:type="dxa"/>
            <w:gridSpan w:val="2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43ABBC2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教学重点：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体适能的测定与评价方法</w:t>
            </w:r>
          </w:p>
          <w:p w14:paraId="3DED03F7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教学难点：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不同工作岗位的特点及锻炼方法</w:t>
            </w:r>
          </w:p>
        </w:tc>
      </w:tr>
      <w:tr w14:paraId="120B379F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E6F1EB"/>
            <w:noWrap w:val="0"/>
            <w:vAlign w:val="center"/>
          </w:tcPr>
          <w:p w14:paraId="15C315D2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教学方法</w:t>
            </w:r>
          </w:p>
        </w:tc>
        <w:tc>
          <w:tcPr>
            <w:tcW w:w="7057" w:type="dxa"/>
            <w:gridSpan w:val="2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9A67986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讲授法、问答法、讨论法、演示法、实践法</w:t>
            </w:r>
          </w:p>
        </w:tc>
      </w:tr>
      <w:tr w14:paraId="59570693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F5F5E1"/>
            <w:noWrap w:val="0"/>
            <w:vAlign w:val="center"/>
          </w:tcPr>
          <w:p w14:paraId="4A48ECA1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教学用具</w:t>
            </w:r>
          </w:p>
        </w:tc>
        <w:tc>
          <w:tcPr>
            <w:tcW w:w="7057" w:type="dxa"/>
            <w:gridSpan w:val="2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A5F1E36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电脑、投影仪、多媒体课件、教材</w:t>
            </w:r>
          </w:p>
        </w:tc>
      </w:tr>
      <w:tr w14:paraId="58AEE760">
        <w:trPr>
          <w:trHeight w:val="567" w:hRule="atLeast"/>
          <w:jc w:val="center"/>
        </w:trPr>
        <w:tc>
          <w:tcPr>
            <w:tcW w:w="1389" w:type="dxa"/>
            <w:tcBorders>
              <w:bottom w:val="double" w:color="418D67" w:sz="4" w:space="0"/>
              <w:tl2br w:val="nil"/>
              <w:tr2bl w:val="nil"/>
            </w:tcBorders>
            <w:shd w:val="clear" w:color="auto" w:fill="E6F1EB"/>
            <w:noWrap w:val="0"/>
            <w:vAlign w:val="center"/>
          </w:tcPr>
          <w:p w14:paraId="1682B724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教学设计</w:t>
            </w:r>
          </w:p>
        </w:tc>
        <w:tc>
          <w:tcPr>
            <w:tcW w:w="7057" w:type="dxa"/>
            <w:gridSpan w:val="2"/>
            <w:tcBorders>
              <w:bottom w:val="double" w:color="418D67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BCCAE9E">
            <w:pPr>
              <w:pStyle w:val="7"/>
              <w:spacing w:line="360" w:lineRule="auto"/>
              <w:ind w:left="1303" w:leftChars="100" w:hanging="1093" w:hangingChars="52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418D67"/>
                <w:sz w:val="21"/>
                <w:szCs w:val="21"/>
              </w:rPr>
              <w:t>第1节课：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课前任务→ 考勤（2 min）→ 知识讲解（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3 min）→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课堂测验（10 min）</w:t>
            </w:r>
          </w:p>
          <w:p w14:paraId="6C0AE2DC">
            <w:pPr>
              <w:pStyle w:val="7"/>
              <w:spacing w:line="360" w:lineRule="auto"/>
              <w:ind w:left="1303" w:leftChars="100" w:hanging="1093" w:hangingChars="52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418D67"/>
                <w:sz w:val="21"/>
                <w:szCs w:val="21"/>
              </w:rPr>
              <w:t>第2节课：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知识讲解（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35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min）→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作业布置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min）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→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课堂小结（5 min）</w:t>
            </w:r>
          </w:p>
          <w:p w14:paraId="29E4D295">
            <w:pPr>
              <w:pStyle w:val="7"/>
              <w:spacing w:line="360" w:lineRule="auto"/>
              <w:ind w:left="1303" w:leftChars="100" w:hanging="1093" w:hangingChars="52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418D67"/>
                <w:sz w:val="21"/>
                <w:szCs w:val="21"/>
              </w:rPr>
              <w:t>第</w:t>
            </w:r>
            <w:r>
              <w:rPr>
                <w:rFonts w:hint="eastAsia" w:ascii="宋体" w:hAnsi="宋体" w:eastAsia="宋体" w:cs="宋体"/>
                <w:b/>
                <w:color w:val="418D67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color w:val="418D67"/>
                <w:sz w:val="21"/>
                <w:szCs w:val="21"/>
              </w:rPr>
              <w:t>节课：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知识讲解（3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 xml:space="preserve"> min）→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作业布置（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min）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→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课堂小结（5 min）</w:t>
            </w:r>
          </w:p>
        </w:tc>
      </w:tr>
      <w:tr w14:paraId="56377A41">
        <w:trPr>
          <w:trHeight w:val="567" w:hRule="atLeast"/>
          <w:jc w:val="center"/>
        </w:trPr>
        <w:tc>
          <w:tcPr>
            <w:tcW w:w="1389" w:type="dxa"/>
            <w:tcBorders>
              <w:top w:val="double" w:color="418D67" w:sz="4" w:space="0"/>
              <w:bottom w:val="double" w:color="418D67" w:sz="4" w:space="0"/>
            </w:tcBorders>
            <w:shd w:val="clear" w:color="auto" w:fill="F5F5E1"/>
            <w:noWrap w:val="0"/>
            <w:vAlign w:val="center"/>
          </w:tcPr>
          <w:p w14:paraId="61DF47AA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教学过程</w:t>
            </w:r>
          </w:p>
        </w:tc>
        <w:tc>
          <w:tcPr>
            <w:tcW w:w="5472" w:type="dxa"/>
            <w:tcBorders>
              <w:top w:val="double" w:color="418D67" w:sz="4" w:space="0"/>
              <w:bottom w:val="double" w:color="418D67" w:sz="4" w:space="0"/>
            </w:tcBorders>
            <w:shd w:val="clear" w:color="auto" w:fill="F5F5E1"/>
            <w:noWrap w:val="0"/>
            <w:vAlign w:val="center"/>
          </w:tcPr>
          <w:p w14:paraId="503B5E6D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主要教学内容及步骤</w:t>
            </w:r>
          </w:p>
        </w:tc>
        <w:tc>
          <w:tcPr>
            <w:tcW w:w="1585" w:type="dxa"/>
            <w:tcBorders>
              <w:top w:val="double" w:color="418D67" w:sz="4" w:space="0"/>
              <w:bottom w:val="double" w:color="418D67" w:sz="4" w:space="0"/>
            </w:tcBorders>
            <w:shd w:val="clear" w:color="auto" w:fill="F5F5E1"/>
            <w:noWrap w:val="0"/>
            <w:vAlign w:val="center"/>
          </w:tcPr>
          <w:p w14:paraId="2590603D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设计意图</w:t>
            </w:r>
          </w:p>
        </w:tc>
      </w:tr>
      <w:tr w14:paraId="5C14C572">
        <w:trPr>
          <w:trHeight w:val="567" w:hRule="atLeast"/>
          <w:jc w:val="center"/>
        </w:trPr>
        <w:tc>
          <w:tcPr>
            <w:tcW w:w="1389" w:type="dxa"/>
            <w:tcBorders>
              <w:top w:val="double" w:color="418D67" w:sz="4" w:space="0"/>
              <w:tl2br w:val="nil"/>
              <w:tr2bl w:val="nil"/>
            </w:tcBorders>
            <w:shd w:val="clear" w:color="auto" w:fill="F5F5E1"/>
            <w:noWrap w:val="0"/>
            <w:vAlign w:val="center"/>
          </w:tcPr>
          <w:p w14:paraId="2D523C8B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color w:val="872F2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课前任务</w:t>
            </w:r>
          </w:p>
        </w:tc>
        <w:tc>
          <w:tcPr>
            <w:tcW w:w="5472" w:type="dxa"/>
            <w:tcBorders>
              <w:top w:val="double" w:color="418D67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8518F86">
            <w:pPr>
              <w:pStyle w:val="7"/>
              <w:spacing w:before="200" w:after="60" w:line="360" w:lineRule="auto"/>
              <w:rPr>
                <w:rFonts w:hint="eastAsia" w:ascii="宋体" w:hAnsi="宋体" w:eastAsia="宋体" w:cs="宋体"/>
                <w:b/>
                <w:color w:val="5D8979"/>
                <w:spacing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pacing w:val="2"/>
                <w:sz w:val="21"/>
                <w:szCs w:val="21"/>
              </w:rPr>
              <w:t>【教师】布置课前问答题：</w:t>
            </w:r>
          </w:p>
          <w:p w14:paraId="7DAD787C">
            <w:pPr>
              <w:pStyle w:val="7"/>
              <w:shd w:val="clear" w:color="auto" w:fill="FFFFFF"/>
              <w:spacing w:line="360" w:lineRule="auto"/>
              <w:ind w:firstLine="412" w:firstLineChars="200"/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（1）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eastAsia="zh-CN"/>
              </w:rPr>
              <w:t>你了解职业体能吗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？</w:t>
            </w:r>
          </w:p>
          <w:p w14:paraId="457A3A82">
            <w:pPr>
              <w:pStyle w:val="7"/>
              <w:shd w:val="clear" w:color="auto" w:fill="FFFFFF"/>
              <w:spacing w:line="360" w:lineRule="auto"/>
              <w:ind w:firstLine="412" w:firstLineChars="200"/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（2）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eastAsia="zh-CN"/>
              </w:rPr>
              <w:t>你知道体适能的测定与评价方法是什么吗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？</w:t>
            </w:r>
          </w:p>
          <w:p w14:paraId="18CD0F35">
            <w:pPr>
              <w:pStyle w:val="7"/>
              <w:shd w:val="clear" w:color="auto" w:fill="FFFFFF"/>
              <w:spacing w:line="360" w:lineRule="auto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【学生】提前上网搜索了解，查阅资料，了解问题，熟悉教材</w:t>
            </w:r>
          </w:p>
        </w:tc>
        <w:tc>
          <w:tcPr>
            <w:tcW w:w="1585" w:type="dxa"/>
            <w:tcBorders>
              <w:top w:val="double" w:color="418D67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B8FD0AA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通过课前的预热，让学生了解所学课程的大概内容，激发学生的学习欲望</w:t>
            </w:r>
          </w:p>
        </w:tc>
      </w:tr>
      <w:tr w14:paraId="2EC0AF2A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E6F1EB"/>
            <w:noWrap w:val="0"/>
            <w:vAlign w:val="center"/>
          </w:tcPr>
          <w:p w14:paraId="29EAAD3C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考勤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（2 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AC9BF3E">
            <w:pPr>
              <w:pStyle w:val="7"/>
              <w:numPr>
                <w:ilvl w:val="0"/>
                <w:numId w:val="1"/>
              </w:numPr>
              <w:spacing w:before="200" w:line="360" w:lineRule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【教师】清点上课人数，记录好考勤</w:t>
            </w:r>
          </w:p>
          <w:p w14:paraId="4BD12671">
            <w:pPr>
              <w:pStyle w:val="7"/>
              <w:numPr>
                <w:ilvl w:val="0"/>
                <w:numId w:val="1"/>
              </w:numPr>
              <w:spacing w:before="200" w:after="200" w:line="360" w:lineRule="auto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【学生】班干部报请假人员及原因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CB7F67F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培养学生的组织纪律性，掌握学生的出勤情况</w:t>
            </w:r>
          </w:p>
        </w:tc>
      </w:tr>
      <w:tr w14:paraId="0D0B4AEC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E6F1EB"/>
            <w:noWrap w:val="0"/>
            <w:vAlign w:val="center"/>
          </w:tcPr>
          <w:p w14:paraId="462FD4B2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1F34E2DD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0624D734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6D26BC6F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6109B4FF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39CF9548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1317EC03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7E945D77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55D6C53A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57BB22DC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527E7286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5B1E895C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6A93E5EA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16A862BA">
            <w:pPr>
              <w:pStyle w:val="7"/>
              <w:spacing w:line="360" w:lineRule="auto"/>
              <w:jc w:val="both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68A57853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知识讲解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3 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7480A59">
            <w:pPr>
              <w:pStyle w:val="7"/>
              <w:spacing w:before="160" w:after="120" w:line="360" w:lineRule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【教师】讲解职业体能的概念</w:t>
            </w:r>
          </w:p>
          <w:p w14:paraId="048127D6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 w:line="36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体能，又称体适能，它是 Physical Fitness 的中文翻译，是指人体所具备的有充足的精力从事日常工作（学习）而不感疲劳，同时有余力享受休闲活动的乐趣，能够适应突发状况的能力。提高体能训练的方法有很多种，如敏捷训练、力量训练、爆发训练、强化身体体能。职业体能是与职业（劳动）有关的身体素质以及在不良劳动环境条件下的耐受力和适应能力，是经过特定的工作能力分析后所需要具备的身体活动能力，包括重复性操作能力、背肌承载静态力的能力、其他肌肉群能达到维持工作姿势要求的能力，以及人体对工作环境的忍耐程度等能力。</w:t>
            </w:r>
          </w:p>
          <w:p w14:paraId="3DEB8375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 w:line="36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健康体适能的内容主要有以下几方面。</w:t>
            </w:r>
          </w:p>
          <w:p w14:paraId="63E1F063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 w:line="36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（1）身体成分：即人体内各种组成成分的百分比，身体成分保持在一个正常百分比范围对预防某些慢性病如糖尿病、高血压、动脉硬化等有重要意义。</w:t>
            </w:r>
          </w:p>
          <w:p w14:paraId="439C2608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 w:line="36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（2）肌力和肌肉耐力：肌力是肌肉所能产生的最大力量，肌肉耐力是肌肉持续收缩的能力，是机体正常工作的基础。</w:t>
            </w:r>
          </w:p>
          <w:p w14:paraId="20E83677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 w:line="36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（3）心肺耐力：又称有氧耐力，是机体持久工作的基础，被认为是健康体适能中最重要的要素。</w:t>
            </w:r>
          </w:p>
          <w:p w14:paraId="37437236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 w:line="36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（4）柔软素质：是指在无疼痛的情况下，关节所能活动的最大范围。它对于保持人体运动能力，防止运动损伤有重要意义。</w:t>
            </w:r>
          </w:p>
          <w:p w14:paraId="2384248F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 w:line="36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（5）瞬发力：指反应时间，是其他体能（速度、肌力、敏捷性、协调性）的综合表现。反应时间快，应付危机处理的能力较佳。</w:t>
            </w:r>
          </w:p>
          <w:p w14:paraId="748D5FFA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 w:line="36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各职业院校以培养国家需要的实用型人才为主要目标。传统的体育课程教学内容主要由各类运动专项构成，以运动技术为中心，所教授的也是各个项目的技术知识和技能，全班学生被给予同样的练习内容、同样的要求、同样的标准。体适能则不同，它根据身体所需将竞技运动与健身做了划分，而这正是高校体育课程教学内容的重点和目的，要根据学生不同身体条件、不同运动水平、不同兴趣，满足其个体需求，对其所需要和适合的教学内容进行分类和分层。就运动体适能来说，其参数是速度、力量、耐力、灵敏性和协调性等，这些素质的获得需要技术动作的学习和积累过程，不是每个人都能具有的，但拥有这些技能的学生会较容易地完成和掌握高水准的技术动作，如果他们或那些对某项运动有天赋的学生，同一般水平的学生同时去接受体育课程内容基础部分的学习，那显然不能满足他们的需求；就健康体适能而言，教学内容的划分是根据学生的身体素质（身体素质好，对运动量的承受能力就大，反之则小）、健康状况（肥胖、有残疾、有某种身体或心理疾病）及其对体育教育的需求，开设心肺适能类、肌肉适能类、柔韧适能类和身体成分类课程，不仅使学生对所学内容的目标和作用一目了然，也使教学内容的设置更加科学和多样化。</w:t>
            </w:r>
          </w:p>
          <w:p w14:paraId="46C091A3">
            <w:pPr>
              <w:pStyle w:val="7"/>
              <w:spacing w:before="160" w:after="120" w:line="360" w:lineRule="auto"/>
              <w:rPr>
                <w:rFonts w:hint="eastAsia" w:ascii="宋体" w:hAnsi="宋体" w:eastAsia="宋体" w:cs="宋体"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【学生】掌握职业体能的概念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F124B3C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37442BB4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3A6F31E2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17427B8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721ABE3B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3CEE9675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6EE44394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2468270F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7A414A2B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0382D889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71400F83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17E80035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60D11655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学习职业体能的概念。边做边讲，及时巩固练习，实现教学做一体化</w:t>
            </w:r>
          </w:p>
        </w:tc>
      </w:tr>
      <w:tr w14:paraId="53F4FCC8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F5F5E1"/>
            <w:noWrap w:val="0"/>
            <w:vAlign w:val="center"/>
          </w:tcPr>
          <w:p w14:paraId="1C74128D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课堂测验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 xml:space="preserve">10 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82C2DD8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 w:line="360" w:lineRule="auto"/>
              <w:textAlignment w:val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  <w:lang w:eastAsia="zh-CN"/>
              </w:rPr>
              <w:t>简述</w:t>
            </w: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职业体能的概念</w:t>
            </w:r>
          </w:p>
          <w:p w14:paraId="0F5E76AD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 w:line="360" w:lineRule="auto"/>
              <w:textAlignment w:val="auto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  <w:lang w:eastAsia="zh-CN"/>
              </w:rPr>
              <w:t>讨论并发表自己的见解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5733C4D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通过测试，了解学生对知识点的掌握情况</w:t>
            </w:r>
          </w:p>
        </w:tc>
      </w:tr>
      <w:tr w14:paraId="09751059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F5F5E1"/>
            <w:noWrap w:val="0"/>
            <w:vAlign w:val="center"/>
          </w:tcPr>
          <w:p w14:paraId="3A08A5FE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2616595F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2F8B3483">
            <w:pPr>
              <w:pStyle w:val="7"/>
              <w:spacing w:line="360" w:lineRule="auto"/>
              <w:jc w:val="both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42FE7E32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知识讲解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（3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 xml:space="preserve"> 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6F85B45">
            <w:pPr>
              <w:pStyle w:val="7"/>
              <w:numPr>
                <w:ilvl w:val="0"/>
                <w:numId w:val="0"/>
              </w:numPr>
              <w:spacing w:before="120" w:after="60" w:line="360" w:lineRule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【教师】体适能的测定与评价方法</w:t>
            </w:r>
          </w:p>
          <w:p w14:paraId="0BEE36D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  <w:t>一、身体组成</w:t>
            </w:r>
          </w:p>
          <w:p w14:paraId="1BF2484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（1）意义：人体是由脂肪及非脂肪组织（如肌肉、骨骼、水与其他脏器等）组成的，保持理想体重对维持适当的身体组成很有意义。</w:t>
            </w:r>
          </w:p>
          <w:p w14:paraId="23546F9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（2）重要性：一般人体重过重可能是由于体内囤积了过多的脂肪，过多的脂肪易导致一些慢性疾病的发生，如糖尿病、高血压、动脉硬化及心肌梗死等。</w:t>
            </w:r>
          </w:p>
          <w:p w14:paraId="57F9E55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（3）检测方法：由测量的身高与体重计算出身体质量指数（BMI），以评价其身体状况。</w:t>
            </w:r>
          </w:p>
          <w:p w14:paraId="1F99A91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身体质量指数（BMI）= 体重（kg）÷ 身高（m）的平方</w:t>
            </w:r>
          </w:p>
          <w:p w14:paraId="1BD376E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  <w:t>二、肌肉适能</w:t>
            </w:r>
          </w:p>
          <w:p w14:paraId="6779A89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（1）意义：肌力是肌肉所能产生的最大力量，肌耐力是肌力持续收缩的能力。</w:t>
            </w:r>
          </w:p>
          <w:p w14:paraId="47B8771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（2）重要性：良好的肌力和肌耐力可以维持正确的姿势与增进工作的效率，肌力和肌耐力不好的人较容易产生肌肉疲劳与酸痛的现象。</w:t>
            </w:r>
          </w:p>
          <w:p w14:paraId="453B7C7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（3）检测方法：受测者平躺在垫子上，屈膝成 90°，足底平贴地面，双手交叉于胸前，双掌轻贴于肩部；施测者按住其脚背使受测者利用腹肌收缩起身，双肘轻触大腿后，再恢复至预备动作。1 分钟内尽最大能力完成，次数越多代表腹肌肌耐力越佳。</w:t>
            </w:r>
          </w:p>
          <w:p w14:paraId="2B88811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（4）注意事项：动作过程中不要闭气，自然呼吸。在测验进行中要收下颚，整个背部要着地，但枕部不可碰地。测验时必须清楚数出次数。</w:t>
            </w:r>
          </w:p>
          <w:p w14:paraId="65C8F70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  <w:t>三、柔软度</w:t>
            </w:r>
          </w:p>
          <w:p w14:paraId="459E595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（1）意义：柔软度是关节的最大活动范围，是使四肢和躯干充分伸展而不会感到疼痛的一种能力。影响因素有：骨骼、关节结构与关节周围肌肉、脂肪、皮肤与结缔组织。</w:t>
            </w:r>
          </w:p>
          <w:p w14:paraId="27FFE30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（2）重要性：具有良好柔软度的人，肢体的活动范围较大，肌肉不易拉伤，关节也不易扭伤。若柔软度不好，则会造成姿势不良的问题，如后背痛及肩颈疼痛等。不常运动是造成柔软度降低的主要原因。</w:t>
            </w:r>
          </w:p>
          <w:p w14:paraId="52FCB6A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（3）检测方法：受测者脱鞋坐于垫子上，两腿分开与肩同宽，膝关节伸直，脚尖朝上（布尺拉于两腿之间）。受测者双腿足跟底部与布尺的 25 厘米记号平齐。双手中指交叠，上身缓慢往前伸展，尽可能向前伸，当中指触及布尺后暂停 1～2 秒，以便记录。测量 3 次，以最佳值为评估依据，数值越高，代表柔软度越好。</w:t>
            </w:r>
          </w:p>
          <w:p w14:paraId="283488B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（4）注意事项：测验前，须先做热身运动及伸展操，以预防肌肉拉伤。动作过程中不要憋气，避免用力弹震。</w:t>
            </w:r>
          </w:p>
          <w:p w14:paraId="4552BB8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  <w:t>四、有氧适能</w:t>
            </w:r>
          </w:p>
          <w:p w14:paraId="7D23636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（1）意义：有氧适能是身体在活动时，持续吸收与利用氧气的能力，涉及心脏、肺脏、血管和血液等。它是国民体适能中最重要的一项，是全身性运动持久能力的指标。</w:t>
            </w:r>
          </w:p>
          <w:p w14:paraId="6CEBC5A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（2）重要性：拥有良好有氧适能的人，能比别人更有效地完成日常活动，而不容易感到疲累。</w:t>
            </w:r>
          </w:p>
          <w:p w14:paraId="2F9E692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（3）检测方法：以登阶运动 3 分钟后的心跳恢复能力来了解受测者的有氧适能。使用35 厘米高的台阶，以 96 拍 / 分的速度上下台阶 24 次（4 拍上下一次），持续 3 分钟。通过测量运动后 1 分～1 分 30 秒、2 分～2 分 30 秒、3 分～3 分 30 秒的心跳数，得到心跳恢复能力以评估受测者心脏、肺脏的功能。</w:t>
            </w:r>
          </w:p>
          <w:p w14:paraId="28C1C12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（4）注意事项：感觉不适可立即停止。上下台阶时双腿要伸直并注意安全。中途可更换先上台阶的脚，但先上台阶的脚先下，且登阶速度要符合节拍。</w:t>
            </w:r>
          </w:p>
          <w:p w14:paraId="4244A7F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（5）评估参考：将测得的心跳数及运动持续时间代入公式计算其体力指数。体力指数越高表示体力越好。</w:t>
            </w:r>
          </w:p>
          <w:p w14:paraId="0AC5524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体力指数 = 运动持续时间（s）×100/（三次脉搏总和）×2</w:t>
            </w:r>
          </w:p>
          <w:p w14:paraId="7D18DA4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  <w:t>五、健康体适能评价的参考标准</w:t>
            </w:r>
          </w:p>
          <w:p w14:paraId="334C0CB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将健康体适能百分等级常模，以其优劣简化为 3 个等级或 5 个等级的结果称为参考标准。等级制定的方式是以标准差对应的百分比为依据，如将以百分等级中的 90%、75%、45%、30% 4 个等级所构成的区段，分别命名为优（甲）、良（乙）、中（丙）、差（丁）及很差（戊）5 个标准，并定义为健康体适能参考标准，以此对健康体适能进行定量和定性评价。</w:t>
            </w:r>
          </w:p>
          <w:p w14:paraId="44484391">
            <w:pPr>
              <w:spacing w:line="360" w:lineRule="auto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【学生】掌握体适能的测定与评价方法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C4CED19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1DB6D5AE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4F33C430">
            <w:pPr>
              <w:pStyle w:val="7"/>
              <w:spacing w:line="360" w:lineRule="auto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52BC889D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181A3DFD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学习体适能的测定与评价方法。边做边讲，及时巩固练习，实现教学做一体化</w:t>
            </w:r>
          </w:p>
        </w:tc>
      </w:tr>
      <w:tr w14:paraId="0DD04BC0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E6F1EB"/>
            <w:noWrap w:val="0"/>
            <w:vAlign w:val="center"/>
          </w:tcPr>
          <w:p w14:paraId="5C623265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课堂测验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（10min）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FA9638E">
            <w:pPr>
              <w:pStyle w:val="7"/>
              <w:spacing w:before="160" w:after="120" w:line="360" w:lineRule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  <w:lang w:eastAsia="zh-CN"/>
              </w:rPr>
              <w:t>简述体适能的测定方法</w:t>
            </w:r>
          </w:p>
          <w:p w14:paraId="0FDA3FC8">
            <w:pPr>
              <w:pStyle w:val="7"/>
              <w:numPr>
                <w:ilvl w:val="0"/>
                <w:numId w:val="0"/>
              </w:numPr>
              <w:spacing w:before="140" w:after="120" w:line="360" w:lineRule="auto"/>
              <w:rPr>
                <w:rFonts w:hint="eastAsia" w:ascii="宋体" w:hAnsi="宋体" w:eastAsia="宋体" w:cs="宋体"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【学生】做测试题目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53EBC10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通过测试，了解学生对知识点的掌握情况，加深学生对本节课知识的印象</w:t>
            </w:r>
          </w:p>
        </w:tc>
      </w:tr>
      <w:tr w14:paraId="609404F5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F5F5E1"/>
            <w:noWrap w:val="0"/>
            <w:vAlign w:val="center"/>
          </w:tcPr>
          <w:p w14:paraId="39BDD6CA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课堂小结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（5min）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0D9CA07">
            <w:pPr>
              <w:pStyle w:val="7"/>
              <w:spacing w:before="160" w:after="120" w:line="360" w:lineRule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【教师】简要总结本节课的要点</w:t>
            </w:r>
          </w:p>
          <w:p w14:paraId="42BCD298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本节课上大家掌握了体适能的测定与评价方法，课后要多加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记忆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。体适能测验包括 Philips（1947）的 JCR 测验，其测验项目为垂直跳、引体向上和折返跑三项，并以这三项测验的原始成绩评价其体适能。</w:t>
            </w:r>
          </w:p>
          <w:p w14:paraId="19E53DA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after="120" w:line="360" w:lineRule="auto"/>
              <w:textAlignment w:val="auto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【学生】总结回顾知识点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836E707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总结知识点，巩固印象</w:t>
            </w:r>
          </w:p>
        </w:tc>
      </w:tr>
      <w:tr w14:paraId="4877F756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F5F5E1"/>
            <w:noWrap w:val="0"/>
            <w:vAlign w:val="center"/>
          </w:tcPr>
          <w:p w14:paraId="0B7CC18E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0E7B6576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489672D9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61792CF6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25170760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1CB6BFBB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326E83C1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60FBCFCC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7CCF0790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215CDD66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5D838DD4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690A94D2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0090F828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2234A3CB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18A0E5BD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464E2F3F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6915E33A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知识讲解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（3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 xml:space="preserve"> 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E0FA3D1">
            <w:pPr>
              <w:pStyle w:val="7"/>
              <w:numPr>
                <w:ilvl w:val="0"/>
                <w:numId w:val="0"/>
              </w:numPr>
              <w:spacing w:before="120" w:after="60" w:line="360" w:lineRule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 不同工作岗位的特点及锻炼方法</w:t>
            </w:r>
          </w:p>
          <w:p w14:paraId="2C5D5AE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</w:rPr>
              <w:t>一、坐姿类职业岗位简介</w:t>
            </w:r>
          </w:p>
          <w:p w14:paraId="7C853C7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现代社会分工精细，许多人工作时的体位改变很少。财务工作人员、文秘及大部分办公室白领等脑力劳动者，以“伏案型”为主要工作方式。调查表明，该类员工在每个工作日的 8 小时劳动中，坐的时间可达 6～7 小时。坐位姿势是一种静态姿势，静态姿势下完成单一姿势工作，容易引起机体许多功能和结构的改变，进而导致疾病，即职业病。</w:t>
            </w:r>
          </w:p>
          <w:p w14:paraId="6A0CB5D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  <w:t>二、</w:t>
            </w: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</w:rPr>
              <w:t>坐姿类职业体能锻炼方法</w:t>
            </w:r>
          </w:p>
          <w:p w14:paraId="4EB41B8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（一）颈肩部肌群力量练习</w:t>
            </w:r>
          </w:p>
          <w:p w14:paraId="3CA49AC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1. 屈伸探肩</w:t>
            </w:r>
          </w:p>
          <w:p w14:paraId="3C16A0A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目的：主要发展胸锁乳突肌和斜方肌的力量。</w:t>
            </w:r>
          </w:p>
          <w:p w14:paraId="18F9409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动作方法：坐、立均可，上背挺直，双手叉腰，双眼正视前方。头缓缓地向左偏，努力接近左肩，保持 6～8 秒，还原；以相同的姿势换方向做，还原。</w:t>
            </w:r>
          </w:p>
          <w:p w14:paraId="7E0A214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2. 肩绕环</w:t>
            </w:r>
          </w:p>
          <w:p w14:paraId="5E6CF5E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目的：发展斜方肌的力量。</w:t>
            </w:r>
          </w:p>
          <w:p w14:paraId="45F1890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动作方法：坐、立均可，上背挺直，双手叉腰，双眼正视前方。双肩经前向后展，做以肩关节为中心的绕环动作。</w:t>
            </w:r>
          </w:p>
          <w:p w14:paraId="5FD17B2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（二）腰背部肌群力量练习</w:t>
            </w:r>
          </w:p>
          <w:p w14:paraId="57E1480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1. 体后屈伸</w:t>
            </w:r>
          </w:p>
          <w:p w14:paraId="7BF1F2D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目的：主要发展伸展躯干和伸髋的肌肉力量。</w:t>
            </w:r>
          </w:p>
          <w:p w14:paraId="01CA2E8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动作方法：俯卧在垫子或长凳上，以髋部支撑，脚固定，两臂前举连续做上体后屈伸动作或者保持上体屈伸 6～8 秒。</w:t>
            </w:r>
          </w:p>
          <w:p w14:paraId="3738D60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2. 俯卧两头起</w:t>
            </w:r>
          </w:p>
          <w:p w14:paraId="2E2A7CA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目的：主要发展伸展躯干和伸髋的肌肉能力。</w:t>
            </w:r>
          </w:p>
          <w:p w14:paraId="20D5023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动作方法：俯卧在垫子或长凳上，两臂前伸，两腿并拢伸直。两臂和两腿同时向上抬起，腹部与坐垫成背弓，然后积极还原，连续练习。</w:t>
            </w:r>
          </w:p>
          <w:p w14:paraId="56498F6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3. 俯立划船</w:t>
            </w:r>
          </w:p>
          <w:p w14:paraId="45C4D06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目的：主要发展背阔肌上、中部以及斜方肌、三角肌的力量。</w:t>
            </w:r>
          </w:p>
          <w:p w14:paraId="7FE4350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动作方法：上体前屈近 90°，抬头，正握杠铃。然后两臂从垂直姿势开始，屈臂将杠铃拉近小腹后还原，再重新开始。上拉时注意肘靠近体侧，上体固定，不屈腕。</w:t>
            </w:r>
          </w:p>
          <w:p w14:paraId="2313CC1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（三）腕部肌群力量练习</w:t>
            </w:r>
          </w:p>
          <w:p w14:paraId="361BB13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1. 屈伸腕动态练习</w:t>
            </w:r>
          </w:p>
          <w:p w14:paraId="3E0B8D1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目的：主要发展前臂伸肌和屈肌的力量。</w:t>
            </w:r>
          </w:p>
          <w:p w14:paraId="4D31CCE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动作方法：立正，一手持哑铃，掌心朝上；另一手微托持哑铃手肘关节，靠于腰部，手紧握哑铃以 2 秒钟一次的频率做屈伸腕运动。</w:t>
            </w:r>
          </w:p>
          <w:p w14:paraId="2699720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2. 屈伸腕静态练习</w:t>
            </w:r>
          </w:p>
          <w:p w14:paraId="19F5A9E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目的：主要发展前臂伸肌和屈肌的力量。</w:t>
            </w:r>
          </w:p>
          <w:p w14:paraId="3F78D25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动作方法：立正，一手持哑铃，掌心朝上；另一手微托持哑铃手肘关节，靠于腰部，手紧握哑铃充分屈腕静止 15 秒，休息 5 秒，再充分伸腕静止 15 秒。</w:t>
            </w:r>
          </w:p>
          <w:p w14:paraId="470E640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3.“8”字绕环</w:t>
            </w:r>
          </w:p>
          <w:p w14:paraId="17A7268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目的：主要发展肱桡肌的力量。</w:t>
            </w:r>
          </w:p>
          <w:p w14:paraId="6E77FED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动作方法：立正，一手持哑铃（男生可以双手持哑铃），掌心朝上，持哑铃手做“8”字绕环运动。</w:t>
            </w:r>
          </w:p>
          <w:p w14:paraId="21E8CC3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200"/>
              <w:textAlignment w:val="auto"/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</w:rPr>
              <w:t>三、站姿类职业岗位简介</w:t>
            </w:r>
          </w:p>
          <w:p w14:paraId="67628C7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站姿是一种静力性工作，分为立正式站立（如解放军站岗）和任意式站立（如超市的收银员）。立正式站立是一种强度极大的静力性工作，而任意式站立，因在一定程度上可以活动身体某些部位，并有机会在较小范围内做一些移动性活动，所以相对于立正式站立而言，其静力负荷的劳动强度较小，职场站姿绝大多数属于任意式站立。</w:t>
            </w:r>
          </w:p>
          <w:p w14:paraId="26741AA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</w:rPr>
              <w:t>四、站姿类职业体能锻炼方法</w:t>
            </w:r>
          </w:p>
          <w:p w14:paraId="416641B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从事站立型职业，身体常处于站姿状态，对下肢力量与耐力要求较高，为此在体育锻炼中应以发展下肢和腰腹部肌肉的力量为主，并练习一些形体操、健美操，使之形成合理的站立姿势与优美的形态。</w:t>
            </w:r>
          </w:p>
          <w:p w14:paraId="4330FE9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（一）下肢肌肉力量的锻炼方法</w:t>
            </w:r>
          </w:p>
          <w:p w14:paraId="7A66636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1. 深蹲</w:t>
            </w:r>
          </w:p>
          <w:p w14:paraId="339D852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目的：主要发展大腿肌群和臀大肌肉力量。</w:t>
            </w:r>
          </w:p>
          <w:p w14:paraId="520C82D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动作方法：把杠铃担负在颈后肩上，屈膝下蹲到大腿与地面平等或稍低，大腿和臀部用力，两脚蹬地使身体恢复到直立。重复练习一定的次数和组数。</w:t>
            </w:r>
          </w:p>
          <w:p w14:paraId="3B413B9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2. 踏板弓箭步</w:t>
            </w:r>
          </w:p>
          <w:p w14:paraId="6C66E59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目的：主要发展股四头肌、股头肌和小腿肌群的力量。</w:t>
            </w:r>
          </w:p>
          <w:p w14:paraId="21C0A3C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动作方法：身体直立，面对踏板，左腿屈膝成弓箭步踏踏板，右腿伸直，同时两手叉腰。还原后，交换腿连续做。</w:t>
            </w:r>
          </w:p>
          <w:p w14:paraId="4DE1D5D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3. 踮脚跳跃</w:t>
            </w:r>
          </w:p>
          <w:p w14:paraId="554DF56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目的：主要发展小腿腓肠肌、比目鱼肌和股四头肌的力量，对提高身体平衡能力也有一定的价值。</w:t>
            </w:r>
          </w:p>
          <w:p w14:paraId="070960A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动作方法：两脚并拢站立，两膝微屈，两手叉腰，踮起双脚前掌原地向上纵跳，膝盖伸直，下落时，先前脚掌着地，然后全脚掌着地，再踮脚起跳。</w:t>
            </w:r>
          </w:p>
          <w:p w14:paraId="732946B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（二）腰腹部肌肉力量的锻炼方法</w:t>
            </w:r>
          </w:p>
          <w:p w14:paraId="1DF89B9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1. 仰卧起坐</w:t>
            </w:r>
          </w:p>
          <w:p w14:paraId="01E378C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目的：主要发展腹直肌的力量。</w:t>
            </w:r>
          </w:p>
          <w:p w14:paraId="1688105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动作方法：仰卧于垫子上，两小腿弯曲，两脚固定，双手交叉抱于头后。腹肌收缩使额头向膝部靠拢直至膝盖。然后还原，重复此动作一定的次数和组数。</w:t>
            </w:r>
          </w:p>
          <w:p w14:paraId="3F64B67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2. 直脚上举</w:t>
            </w:r>
          </w:p>
          <w:p w14:paraId="250D157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目的：主要发展腹直肌、髂腰肌的力量。</w:t>
            </w:r>
          </w:p>
          <w:p w14:paraId="1863282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动作方法：仰卧于垫子上，两腿并拢伸直，两手放于体侧。双腿直脚并拢靠腹部的力量将脚慢慢举起，保持躯干与大腿成 120° 左右的夹角，静止 5～10 秒，然后还原。</w:t>
            </w:r>
          </w:p>
          <w:p w14:paraId="23C6BB6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</w:rPr>
              <w:t>五、变姿类职业岗位简介</w:t>
            </w:r>
          </w:p>
          <w:p w14:paraId="59B9B93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变姿类职业从业人员，静力性工作与动力性工作交替进行，所以这类人群劳动（工作）时的解剖学、生理学负荷特征与坐姿、站姿类职业有许多相同之处，但又并不完全等同。因为这类工作姿势变化没有一定的规律，有些工种（如园艺工作者）姿势变化频率快，肌肉能进行交替休息不易产生疲劳；有些工种（如机械工）工作时需要一定静力紧张负荷，因此肌肉常处于紧张收缩的状态。</w:t>
            </w:r>
          </w:p>
          <w:p w14:paraId="6AC52D3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  <w:t>六、</w:t>
            </w: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</w:rPr>
              <w:t>变姿类职业体能锻炼方法</w:t>
            </w:r>
          </w:p>
          <w:p w14:paraId="4C27750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（一）增强心肺练习方法</w:t>
            </w:r>
          </w:p>
          <w:p w14:paraId="549D6EA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在现场作业时，要求相关人员的心脏功能随工作强度的改变而适当地调整，以满足工作的需要。据对建筑工作现场的技术员进行心肺功能调研，有些员工在烈日下工作，常出现因心脏功能不能适应高温环境而昏厥的现象。因此，对室外工作的人员加强心肺功能的训练是必要的。</w:t>
            </w:r>
          </w:p>
          <w:p w14:paraId="7EA7A3A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（二）提高肌肉耐力的练习方法</w:t>
            </w:r>
          </w:p>
          <w:p w14:paraId="5D2D5C6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肌肉耐力是肌肉长时间维持工作的能力。高抬举作业，如手举焊枪、紧固螺丝和打孔等，需要保持长时间的肌肉收缩状态。如果肌肉耐力不好，将导致肌肉供血不足，肌肉代谢废物不能及时排出，引起局部肌肉疲劳，工作效率降低，甚至出现工伤事故。提高肌肉耐力的练习宜采用小负荷、重复多次的练习方法。</w:t>
            </w:r>
          </w:p>
          <w:p w14:paraId="3432C61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（三）抗热、抗寒、抗风雨、抗辐射能力的练习方法</w:t>
            </w:r>
          </w:p>
          <w:p w14:paraId="62DE30C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在室外工作时，夏天的炎热，冬天的寒冷，风雨霜雪等都可引起人免疫能力的降低，导致机体不适，进而引起疾病。对此，应加强有氧运动，以提高免疫力。同时，可参加定向越野、野外素质拓展等项目，以提高抗疲劳能力、野外生存能力和环境适应能力等。</w:t>
            </w:r>
          </w:p>
          <w:p w14:paraId="6F6E164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（四）提高平衡能力的练习方法</w:t>
            </w:r>
          </w:p>
          <w:p w14:paraId="35CB146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有效的平衡，有赖于柔韧性、躯干主要肌肉的力量，以及良好的肌肉协调性。这对于高空作业者，如高空建筑工、高层清洁工（蜘蛛人）等，是必须具备的能力。因此，在体能训练或运动项目选择时，应考虑发展稳定性、下肢肌肉静力性耐力、灵敏性的需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。</w:t>
            </w:r>
          </w:p>
          <w:p w14:paraId="5A0AA153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【学生】掌握体育对人的社会化作用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A91CC47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7F5B9636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2F9FC434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2B3B4A8A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0D7E79B5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6AC643EA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536B230A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2A4D1A1E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020830CB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651F1833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2C09A058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0E2C2098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44C61D04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49CBD52B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学习不同工作岗位的特点及锻炼方法。边做边讲，及时巩固练习，实现教学做一体化</w:t>
            </w:r>
          </w:p>
        </w:tc>
      </w:tr>
      <w:tr w14:paraId="70C5E1E4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E6F1EB"/>
            <w:noWrap w:val="0"/>
            <w:vAlign w:val="center"/>
          </w:tcPr>
          <w:p w14:paraId="7158B955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课堂测验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（10min）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2694D93">
            <w:pPr>
              <w:pStyle w:val="7"/>
              <w:spacing w:before="160" w:after="120" w:line="360" w:lineRule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  <w:lang w:eastAsia="zh-CN"/>
              </w:rPr>
              <w:t>变姿类职业体能锻炼方法有哪些？</w:t>
            </w:r>
          </w:p>
          <w:p w14:paraId="73A31E42">
            <w:pPr>
              <w:pStyle w:val="7"/>
              <w:numPr>
                <w:ilvl w:val="0"/>
                <w:numId w:val="0"/>
              </w:numPr>
              <w:spacing w:before="140" w:after="120" w:line="360" w:lineRule="auto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【学生】做测试题目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009A05C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通过测试，了解学生对知识点的掌握情况，加深学生对本节课知识的印象</w:t>
            </w:r>
          </w:p>
        </w:tc>
      </w:tr>
      <w:tr w14:paraId="6057DA02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F5F5E1"/>
            <w:noWrap w:val="0"/>
            <w:vAlign w:val="center"/>
          </w:tcPr>
          <w:p w14:paraId="60C2DAFE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课堂小结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（5min）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61F3834">
            <w:pPr>
              <w:pStyle w:val="7"/>
              <w:spacing w:before="160" w:after="120" w:line="360" w:lineRule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【教师】简要总结本节课的要点</w:t>
            </w:r>
          </w:p>
          <w:p w14:paraId="61B9DB58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本节课上大家掌握了不同工作岗位的特点及锻炼方法，课后要多加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记忆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。当一个人长期保持坐位姿势时，维持该姿势的肌纤维会长时间处于一定的静力性紧张状态，坐姿时腰背部肌肉是主要的受力肌。</w:t>
            </w:r>
          </w:p>
          <w:p w14:paraId="45081032">
            <w:pPr>
              <w:pStyle w:val="7"/>
              <w:spacing w:before="160" w:after="120" w:line="360" w:lineRule="auto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【学生】总结回顾知识点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51C28A6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总结知识点，巩固印象</w:t>
            </w:r>
          </w:p>
        </w:tc>
      </w:tr>
      <w:tr w14:paraId="218D6188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E6F1EB"/>
            <w:noWrap w:val="0"/>
            <w:vAlign w:val="center"/>
          </w:tcPr>
          <w:p w14:paraId="456E6F09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教学反思</w:t>
            </w:r>
          </w:p>
        </w:tc>
        <w:tc>
          <w:tcPr>
            <w:tcW w:w="7057" w:type="dxa"/>
            <w:gridSpan w:val="2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14FA626">
            <w:pPr>
              <w:pStyle w:val="7"/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本节课发现一些学生的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理解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不够，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理解知识点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时出现了一些不应出现的错误，后面的教学中应要求学生更多地进行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实地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练习，让学生在练习中体会、理解所学知识的应用，并学会在练习中总结，反思。</w:t>
            </w:r>
          </w:p>
        </w:tc>
      </w:tr>
    </w:tbl>
    <w:p w14:paraId="56FD4096">
      <w:pPr>
        <w:jc w:val="center"/>
        <w:rPr>
          <w:rFonts w:hint="eastAsia" w:ascii="汉仪大宋简" w:hAnsi="Calibri" w:eastAsia="汉仪大宋简" w:cs="Times New Roman"/>
          <w:b/>
          <w:bCs/>
          <w:caps/>
          <w:color w:val="418D67"/>
          <w:sz w:val="30"/>
          <w:szCs w:val="30"/>
          <w:lang w:val="en-US" w:eastAsia="zh-CN" w:bidi="ar-SA"/>
        </w:rPr>
      </w:pPr>
    </w:p>
    <w:sectPr>
      <w:pgSz w:w="11906" w:h="16838"/>
      <w:pgMar w:top="1134" w:right="850" w:bottom="1134" w:left="850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altName w:val="汉仪楷体KW"/>
    <w:panose1 w:val="02010609060101010101"/>
    <w:charset w:val="00"/>
    <w:family w:val="auto"/>
    <w:pitch w:val="default"/>
    <w:sig w:usb0="00000000" w:usb1="00000000" w:usb2="00000016" w:usb3="00000000" w:csb0="00040001" w:csb1="00000000"/>
  </w:font>
  <w:font w:name="汉仪大宋简">
    <w:altName w:val="汉仪书宋二KW"/>
    <w:panose1 w:val="02010609000101010101"/>
    <w:charset w:val="86"/>
    <w:family w:val="modern"/>
    <w:pitch w:val="default"/>
    <w:sig w:usb0="00000000" w:usb1="00000000" w:usb2="00000002" w:usb3="00000000" w:csb0="00040000" w:csb1="00000000"/>
  </w:font>
  <w:font w:name="思源宋体">
    <w:panose1 w:val="02020700000000000000"/>
    <w:charset w:val="86"/>
    <w:family w:val="auto"/>
    <w:pitch w:val="default"/>
    <w:sig w:usb0="30000083" w:usb1="2BDF3C10" w:usb2="00000016" w:usb3="00000000" w:csb0="602E0107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大宋简">
    <w:altName w:val="汉仪书宋二KW"/>
    <w:panose1 w:val="02010609000101010101"/>
    <w:charset w:val="00"/>
    <w:family w:val="modern"/>
    <w:pitch w:val="default"/>
    <w:sig w:usb0="00000000" w:usb1="00000000" w:usb2="00000002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443D13">
    <w:pPr>
      <w:pStyle w:val="3"/>
      <w:pBdr>
        <w:bottom w:val="none" w:color="auto" w:sz="0" w:space="1"/>
      </w:pBdr>
      <w:rPr>
        <w:rFonts w:hint="eastAsia" w:eastAsia="宋体"/>
        <w:lang w:eastAsia="zh-CN"/>
      </w:rPr>
    </w:pPr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10160" b="1270"/>
          <wp:wrapNone/>
          <wp:docPr id="11" name="WordPictureWatermark976353" descr="体育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ordPictureWatermark976353" descr="体育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19107D">
    <w:pPr>
      <w:pStyle w:val="3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-529590</wp:posOffset>
          </wp:positionH>
          <wp:positionV relativeFrom="paragraph">
            <wp:posOffset>-63500</wp:posOffset>
          </wp:positionV>
          <wp:extent cx="7592060" cy="10763885"/>
          <wp:effectExtent l="0" t="0" r="2540" b="5715"/>
          <wp:wrapNone/>
          <wp:docPr id="10" name="图片 10" descr="绿色运动健步走运动信纸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绿色运动健步走运动信纸_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2060" cy="107638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6373EA"/>
    <w:multiLevelType w:val="multilevel"/>
    <w:tmpl w:val="226373EA"/>
    <w:lvl w:ilvl="0" w:tentative="0">
      <w:start w:val="1"/>
      <w:numFmt w:val="bullet"/>
      <w:lvlText w:val=""/>
      <w:lvlJc w:val="left"/>
      <w:pPr>
        <w:ind w:left="6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0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8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7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1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0NjhmZWJlMTRmM2NhNDQ1ZmI0ZjBhZDk1MmQ1Y2UifQ=="/>
  </w:docVars>
  <w:rsids>
    <w:rsidRoot w:val="00172A27"/>
    <w:rsid w:val="203B0072"/>
    <w:rsid w:val="74EE600D"/>
    <w:rsid w:val="75FF2D92"/>
    <w:rsid w:val="7EBFA065"/>
    <w:rsid w:val="7FFB714C"/>
    <w:rsid w:val="F7DDF6F6"/>
    <w:rsid w:val="FFF766EF"/>
    <w:rsid w:val="FFF79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theme="minorBidi"/>
      <w:sz w:val="18"/>
      <w:szCs w:val="20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 w:eastAsia="宋体" w:cstheme="minorBidi"/>
      <w:sz w:val="18"/>
      <w:szCs w:val="20"/>
    </w:rPr>
  </w:style>
  <w:style w:type="paragraph" w:styleId="4">
    <w:name w:val="Normal (Web)"/>
    <w:basedOn w:val="1"/>
    <w:unhideWhenUsed/>
    <w:uiPriority w:val="99"/>
    <w:rPr>
      <w:sz w:val="24"/>
    </w:rPr>
  </w:style>
  <w:style w:type="paragraph" w:customStyle="1" w:styleId="7">
    <w:name w:val="表文"/>
    <w:basedOn w:val="1"/>
    <w:uiPriority w:val="0"/>
    <w:pPr>
      <w:spacing w:before="20" w:after="20" w:line="240" w:lineRule="auto"/>
      <w:ind w:firstLine="0"/>
    </w:pPr>
    <w:rPr>
      <w:rFonts w:ascii="Times New Roman" w:hAnsi="Times New Roman" w:eastAsia="微软雅黑"/>
      <w:sz w:val="18"/>
    </w:rPr>
  </w:style>
  <w:style w:type="paragraph" w:customStyle="1" w:styleId="8">
    <w:name w:val="正文17磅"/>
    <w:basedOn w:val="1"/>
    <w:qFormat/>
    <w:uiPriority w:val="0"/>
    <w:pPr>
      <w:widowControl w:val="0"/>
      <w:spacing w:after="0" w:line="340" w:lineRule="exact"/>
      <w:ind w:firstLine="425"/>
    </w:pPr>
    <w:rPr>
      <w:rFonts w:ascii="Times New Roman" w:hAns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liuyue/Library/Containers/com.kingsoft.wpsoffice.mac/Data/Normal.wp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>
      <sectNamePr val="拼图型"/>
      <sectRole val="1"/>
    </customSectPr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Office_6.8.2.8850_F1E327BC-269C-435d-A152-05C5408002CA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2022-07-07T00:33:00Z</dcterms:created>
  <dc:creator>六月</dc:creator>
  <cp:lastModifiedBy>六月</cp:lastModifiedBy>
  <dcterms:modified xsi:type="dcterms:W3CDTF">2024-11-21T13:46:15Z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2052-6.8.2.8850</vt:lpwstr>
  </property>
  <property fmtid="{D5CDD505-2E9C-101B-9397-08002B2CF9AE}" pid="3" name="ICV">
    <vt:lpwstr>D0961AB180188B2D6DC73E6759C1F976_43</vt:lpwstr>
  </property>
</Properties>
</file>